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D22DA" w:rsidRDefault="00620945">
      <w:pPr>
        <w:pBdr>
          <w:top w:val="nil"/>
          <w:left w:val="nil"/>
          <w:bottom w:val="nil"/>
          <w:right w:val="nil"/>
          <w:between w:val="nil"/>
        </w:pBdr>
        <w:spacing w:line="240" w:lineRule="auto"/>
        <w:ind w:left="2" w:hanging="4"/>
        <w:jc w:val="center"/>
        <w:rPr>
          <w:rFonts w:ascii="華康特粗楷體" w:eastAsia="華康特粗楷體" w:hAnsi="華康特粗楷體" w:cs="華康特粗楷體"/>
          <w:color w:val="000000"/>
          <w:sz w:val="36"/>
          <w:szCs w:val="36"/>
        </w:rPr>
      </w:pPr>
      <w:r>
        <w:rPr>
          <w:rFonts w:ascii="華康特粗楷體" w:eastAsia="華康特粗楷體" w:hAnsi="華康特粗楷體" w:cs="華康特粗楷體"/>
          <w:color w:val="000000"/>
          <w:sz w:val="36"/>
          <w:szCs w:val="36"/>
        </w:rPr>
        <w:t>光田綜合醫院捐贈弘光科技大學就學助學金實施辦法</w:t>
      </w:r>
    </w:p>
    <w:p w14:paraId="00000002" w14:textId="77777777" w:rsidR="003D22DA" w:rsidRDefault="003D22DA">
      <w:pPr>
        <w:pBdr>
          <w:top w:val="nil"/>
          <w:left w:val="nil"/>
          <w:bottom w:val="nil"/>
          <w:right w:val="nil"/>
          <w:between w:val="nil"/>
        </w:pBdr>
        <w:spacing w:line="240" w:lineRule="auto"/>
        <w:ind w:left="0" w:hanging="2"/>
        <w:jc w:val="center"/>
        <w:rPr>
          <w:rFonts w:ascii="BiauKai" w:eastAsia="BiauKai" w:hAnsi="BiauKai" w:cs="BiauKai"/>
          <w:color w:val="000000"/>
          <w:sz w:val="20"/>
          <w:szCs w:val="20"/>
        </w:rPr>
      </w:pPr>
    </w:p>
    <w:p w14:paraId="00000003" w14:textId="77777777" w:rsidR="003D22DA" w:rsidRDefault="00620945">
      <w:pPr>
        <w:pBdr>
          <w:top w:val="nil"/>
          <w:left w:val="nil"/>
          <w:bottom w:val="nil"/>
          <w:right w:val="nil"/>
          <w:between w:val="nil"/>
        </w:pBdr>
        <w:spacing w:line="240" w:lineRule="auto"/>
        <w:ind w:left="0" w:hanging="2"/>
        <w:jc w:val="right"/>
        <w:rPr>
          <w:rFonts w:ascii="BiauKai" w:eastAsia="BiauKai" w:hAnsi="BiauKai" w:cs="BiauKai"/>
          <w:color w:val="000000"/>
        </w:rPr>
      </w:pPr>
      <w:r>
        <w:rPr>
          <w:rFonts w:ascii="BiauKai" w:eastAsia="BiauKai" w:hAnsi="BiauKai" w:cs="BiauKai"/>
          <w:b/>
          <w:color w:val="000000"/>
        </w:rPr>
        <w:t>10510-009</w:t>
      </w:r>
    </w:p>
    <w:p w14:paraId="00000004" w14:textId="77777777" w:rsidR="003D22DA" w:rsidRDefault="00620945">
      <w:pPr>
        <w:pBdr>
          <w:top w:val="nil"/>
          <w:left w:val="nil"/>
          <w:bottom w:val="nil"/>
          <w:right w:val="nil"/>
          <w:between w:val="nil"/>
        </w:pBdr>
        <w:spacing w:line="240" w:lineRule="auto"/>
        <w:ind w:left="0" w:hanging="2"/>
        <w:jc w:val="right"/>
        <w:rPr>
          <w:rFonts w:ascii="BiauKai" w:eastAsia="BiauKai" w:hAnsi="BiauKai" w:cs="BiauKai"/>
          <w:color w:val="000000"/>
          <w:sz w:val="20"/>
          <w:szCs w:val="20"/>
        </w:rPr>
      </w:pPr>
      <w:r>
        <w:rPr>
          <w:rFonts w:ascii="BiauKai" w:eastAsia="BiauKai" w:hAnsi="BiauKai" w:cs="BiauKai"/>
          <w:color w:val="000000"/>
          <w:sz w:val="20"/>
          <w:szCs w:val="20"/>
        </w:rPr>
        <w:t>中華民國</w:t>
      </w:r>
      <w:r>
        <w:rPr>
          <w:rFonts w:ascii="BiauKai" w:eastAsia="BiauKai" w:hAnsi="BiauKai" w:cs="BiauKai"/>
          <w:color w:val="000000"/>
          <w:sz w:val="20"/>
          <w:szCs w:val="20"/>
        </w:rPr>
        <w:t>101</w:t>
      </w:r>
      <w:r>
        <w:rPr>
          <w:rFonts w:ascii="BiauKai" w:eastAsia="BiauKai" w:hAnsi="BiauKai" w:cs="BiauKai"/>
          <w:color w:val="000000"/>
          <w:sz w:val="20"/>
          <w:szCs w:val="20"/>
        </w:rPr>
        <w:t>年</w:t>
      </w:r>
      <w:r>
        <w:rPr>
          <w:rFonts w:ascii="BiauKai" w:eastAsia="BiauKai" w:hAnsi="BiauKai" w:cs="BiauKai"/>
          <w:color w:val="000000"/>
          <w:sz w:val="20"/>
          <w:szCs w:val="20"/>
        </w:rPr>
        <w:t>01</w:t>
      </w:r>
      <w:r>
        <w:rPr>
          <w:rFonts w:ascii="BiauKai" w:eastAsia="BiauKai" w:hAnsi="BiauKai" w:cs="BiauKai"/>
          <w:color w:val="000000"/>
          <w:sz w:val="20"/>
          <w:szCs w:val="20"/>
        </w:rPr>
        <w:t>月</w:t>
      </w:r>
      <w:r>
        <w:rPr>
          <w:rFonts w:ascii="BiauKai" w:eastAsia="BiauKai" w:hAnsi="BiauKai" w:cs="BiauKai"/>
          <w:color w:val="000000"/>
          <w:sz w:val="20"/>
          <w:szCs w:val="20"/>
        </w:rPr>
        <w:t>03</w:t>
      </w:r>
      <w:r>
        <w:rPr>
          <w:rFonts w:ascii="BiauKai" w:eastAsia="BiauKai" w:hAnsi="BiauKai" w:cs="BiauKai"/>
          <w:color w:val="000000"/>
          <w:sz w:val="20"/>
          <w:szCs w:val="20"/>
        </w:rPr>
        <w:t>日行政會議修正通過</w:t>
      </w:r>
    </w:p>
    <w:p w14:paraId="00000005" w14:textId="77777777" w:rsidR="003D22DA" w:rsidRDefault="00620945">
      <w:pPr>
        <w:pBdr>
          <w:top w:val="nil"/>
          <w:left w:val="nil"/>
          <w:bottom w:val="nil"/>
          <w:right w:val="nil"/>
          <w:between w:val="nil"/>
        </w:pBdr>
        <w:spacing w:line="240" w:lineRule="auto"/>
        <w:ind w:left="0" w:hanging="2"/>
        <w:rPr>
          <w:rFonts w:ascii="BiauKai" w:eastAsia="BiauKai" w:hAnsi="BiauKai" w:cs="BiauKai"/>
          <w:color w:val="0D0D0D"/>
          <w:sz w:val="20"/>
          <w:szCs w:val="20"/>
        </w:rPr>
      </w:pPr>
      <w:r>
        <w:rPr>
          <w:rFonts w:ascii="BiauKai" w:eastAsia="BiauKai" w:hAnsi="BiauKai" w:cs="BiauKai"/>
          <w:color w:val="0D0D0D"/>
          <w:sz w:val="20"/>
          <w:szCs w:val="20"/>
        </w:rPr>
        <w:t>(</w:t>
      </w:r>
      <w:r>
        <w:rPr>
          <w:rFonts w:ascii="BiauKai" w:eastAsia="BiauKai" w:hAnsi="BiauKai" w:cs="BiauKai"/>
          <w:color w:val="0D0D0D"/>
          <w:sz w:val="20"/>
          <w:szCs w:val="20"/>
        </w:rPr>
        <w:t>修正歷程詳全條文末</w:t>
      </w:r>
      <w:r>
        <w:rPr>
          <w:rFonts w:ascii="BiauKai" w:eastAsia="BiauKai" w:hAnsi="BiauKai" w:cs="BiauKai"/>
          <w:color w:val="0D0D0D"/>
          <w:sz w:val="20"/>
          <w:szCs w:val="20"/>
        </w:rPr>
        <w:t>)</w:t>
      </w:r>
    </w:p>
    <w:p w14:paraId="00000006" w14:textId="77777777" w:rsidR="003D22DA" w:rsidRDefault="00620945">
      <w:p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第一條</w:t>
      </w:r>
      <w:r>
        <w:rPr>
          <w:rFonts w:ascii="BiauKai" w:eastAsia="BiauKai" w:hAnsi="BiauKai" w:cs="BiauKai"/>
          <w:color w:val="000000"/>
          <w:sz w:val="28"/>
          <w:szCs w:val="28"/>
        </w:rPr>
        <w:t xml:space="preserve"> </w:t>
      </w:r>
      <w:r>
        <w:rPr>
          <w:rFonts w:ascii="BiauKai" w:eastAsia="BiauKai" w:hAnsi="BiauKai" w:cs="BiauKai"/>
          <w:color w:val="000000"/>
          <w:sz w:val="28"/>
          <w:szCs w:val="28"/>
        </w:rPr>
        <w:t>弘光科技大學（以下簡稱本校）為充分運用光田醫院捐贈之就學獎助學金，培養優秀醫護人才及協助就學困難之在學學生與畢業就業，特定訂光田綜合醫院捐贈弘光科技大學就學助學金實施辦法（以下簡稱本辦法）。</w:t>
      </w:r>
    </w:p>
    <w:p w14:paraId="00000007" w14:textId="77777777" w:rsidR="003D22DA" w:rsidRDefault="00620945">
      <w:p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第二條</w:t>
      </w:r>
      <w:r>
        <w:rPr>
          <w:rFonts w:ascii="BiauKai" w:eastAsia="BiauKai" w:hAnsi="BiauKai" w:cs="BiauKai"/>
          <w:color w:val="000000"/>
          <w:sz w:val="28"/>
          <w:szCs w:val="28"/>
        </w:rPr>
        <w:t xml:space="preserve"> </w:t>
      </w:r>
      <w:r>
        <w:rPr>
          <w:rFonts w:ascii="BiauKai" w:eastAsia="BiauKai" w:hAnsi="BiauKai" w:cs="BiauKai"/>
          <w:color w:val="000000"/>
          <w:sz w:val="28"/>
          <w:szCs w:val="28"/>
        </w:rPr>
        <w:t>對象：護理系所（科）具學籍之在學生。</w:t>
      </w:r>
    </w:p>
    <w:p w14:paraId="00000008" w14:textId="77777777" w:rsidR="003D22DA" w:rsidRDefault="00620945">
      <w:p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第三條</w:t>
      </w:r>
      <w:r>
        <w:rPr>
          <w:rFonts w:ascii="BiauKai" w:eastAsia="BiauKai" w:hAnsi="BiauKai" w:cs="BiauKai"/>
          <w:color w:val="000000"/>
          <w:sz w:val="28"/>
          <w:szCs w:val="28"/>
        </w:rPr>
        <w:t xml:space="preserve"> </w:t>
      </w:r>
      <w:r>
        <w:rPr>
          <w:rFonts w:ascii="BiauKai" w:eastAsia="BiauKai" w:hAnsi="BiauKai" w:cs="BiauKai"/>
          <w:color w:val="000000"/>
          <w:sz w:val="28"/>
          <w:szCs w:val="28"/>
        </w:rPr>
        <w:t>名額：依當年編列金額訂定。</w:t>
      </w:r>
    </w:p>
    <w:p w14:paraId="00000009" w14:textId="77777777" w:rsidR="003D22DA" w:rsidRDefault="00620945">
      <w:p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第四條</w:t>
      </w:r>
      <w:r>
        <w:rPr>
          <w:rFonts w:ascii="BiauKai" w:eastAsia="BiauKai" w:hAnsi="BiauKai" w:cs="BiauKai"/>
          <w:color w:val="000000"/>
          <w:sz w:val="28"/>
          <w:szCs w:val="28"/>
        </w:rPr>
        <w:t xml:space="preserve"> </w:t>
      </w:r>
      <w:r>
        <w:rPr>
          <w:rFonts w:ascii="BiauKai" w:eastAsia="BiauKai" w:hAnsi="BiauKai" w:cs="BiauKai"/>
          <w:color w:val="000000"/>
          <w:sz w:val="28"/>
          <w:szCs w:val="28"/>
        </w:rPr>
        <w:t>助學金來源：由光田綜合醫院捐贈。</w:t>
      </w:r>
    </w:p>
    <w:p w14:paraId="0000000A" w14:textId="77777777" w:rsidR="003D22DA" w:rsidRDefault="00620945">
      <w:p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第五條</w:t>
      </w:r>
      <w:r>
        <w:rPr>
          <w:rFonts w:ascii="BiauKai" w:eastAsia="BiauKai" w:hAnsi="BiauKai" w:cs="BiauKai"/>
          <w:color w:val="000000"/>
          <w:sz w:val="28"/>
          <w:szCs w:val="28"/>
        </w:rPr>
        <w:t xml:space="preserve"> </w:t>
      </w:r>
      <w:r>
        <w:rPr>
          <w:rFonts w:ascii="BiauKai" w:eastAsia="BiauKai" w:hAnsi="BiauKai" w:cs="BiauKai"/>
          <w:color w:val="000000"/>
          <w:sz w:val="28"/>
          <w:szCs w:val="28"/>
        </w:rPr>
        <w:t>申請資格：下列條件皆需全數具備</w:t>
      </w:r>
    </w:p>
    <w:p w14:paraId="0000000B" w14:textId="77777777" w:rsidR="003D22DA" w:rsidRDefault="00620945">
      <w:pPr>
        <w:numPr>
          <w:ilvl w:val="0"/>
          <w:numId w:val="1"/>
        </w:num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護理系所（科）之二技第一年下學期或第二年、四技二年級及五專三年級（含）以上在學學生。</w:t>
      </w:r>
    </w:p>
    <w:p w14:paraId="0000000C" w14:textId="77777777" w:rsidR="003D22DA" w:rsidRDefault="00620945">
      <w:pPr>
        <w:numPr>
          <w:ilvl w:val="0"/>
          <w:numId w:val="1"/>
        </w:num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學業成績：申請當時之前學年（二技若於第一年下學期申請，使用上學期成績）總成績</w:t>
      </w:r>
      <w:r>
        <w:rPr>
          <w:rFonts w:ascii="BiauKai" w:eastAsia="BiauKai" w:hAnsi="BiauKai" w:cs="BiauKai"/>
          <w:color w:val="000000"/>
          <w:sz w:val="28"/>
          <w:szCs w:val="28"/>
        </w:rPr>
        <w:t>75</w:t>
      </w:r>
      <w:r>
        <w:rPr>
          <w:rFonts w:ascii="BiauKai" w:eastAsia="BiauKai" w:hAnsi="BiauKai" w:cs="BiauKai"/>
          <w:color w:val="000000"/>
          <w:sz w:val="28"/>
          <w:szCs w:val="28"/>
        </w:rPr>
        <w:t>分（含）以上，專業科目皆為</w:t>
      </w:r>
      <w:r>
        <w:rPr>
          <w:rFonts w:ascii="BiauKai" w:eastAsia="BiauKai" w:hAnsi="BiauKai" w:cs="BiauKai"/>
          <w:color w:val="000000"/>
          <w:sz w:val="28"/>
          <w:szCs w:val="28"/>
        </w:rPr>
        <w:t>70</w:t>
      </w:r>
      <w:r>
        <w:rPr>
          <w:rFonts w:ascii="BiauKai" w:eastAsia="BiauKai" w:hAnsi="BiauKai" w:cs="BiauKai"/>
          <w:color w:val="000000"/>
          <w:sz w:val="28"/>
          <w:szCs w:val="28"/>
        </w:rPr>
        <w:t>分（含）以上（不含重補修）。</w:t>
      </w:r>
    </w:p>
    <w:p w14:paraId="0000000D" w14:textId="77777777" w:rsidR="003D22DA" w:rsidRDefault="00620945">
      <w:pPr>
        <w:numPr>
          <w:ilvl w:val="0"/>
          <w:numId w:val="1"/>
        </w:num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操行成績</w:t>
      </w:r>
      <w:r>
        <w:rPr>
          <w:rFonts w:ascii="BiauKai" w:eastAsia="BiauKai" w:hAnsi="BiauKai" w:cs="BiauKai"/>
          <w:color w:val="000000"/>
          <w:sz w:val="28"/>
          <w:szCs w:val="28"/>
        </w:rPr>
        <w:t>80</w:t>
      </w:r>
      <w:r>
        <w:rPr>
          <w:rFonts w:ascii="BiauKai" w:eastAsia="BiauKai" w:hAnsi="BiauKai" w:cs="BiauKai"/>
          <w:color w:val="000000"/>
          <w:sz w:val="28"/>
          <w:szCs w:val="28"/>
        </w:rPr>
        <w:t>分（含）以上，不曾受小過以上之處分。</w:t>
      </w:r>
    </w:p>
    <w:p w14:paraId="0000000E" w14:textId="77777777" w:rsidR="003D22DA" w:rsidRDefault="00620945">
      <w:pPr>
        <w:numPr>
          <w:ilvl w:val="0"/>
          <w:numId w:val="1"/>
        </w:num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不得出現延後畢業之情形（含重補修及學程實習等）。</w:t>
      </w:r>
    </w:p>
    <w:p w14:paraId="0000000F" w14:textId="77777777" w:rsidR="003D22DA" w:rsidRDefault="00620945">
      <w:pPr>
        <w:numPr>
          <w:ilvl w:val="0"/>
          <w:numId w:val="1"/>
        </w:num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中低、低收入戶或導師認定有經濟需求之學生優先錄取。</w:t>
      </w:r>
    </w:p>
    <w:p w14:paraId="00000010" w14:textId="77777777" w:rsidR="003D22DA" w:rsidRDefault="00620945">
      <w:p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第六條</w:t>
      </w:r>
      <w:r>
        <w:rPr>
          <w:rFonts w:ascii="BiauKai" w:eastAsia="BiauKai" w:hAnsi="BiauKai" w:cs="BiauKai"/>
          <w:color w:val="000000"/>
          <w:sz w:val="28"/>
          <w:szCs w:val="28"/>
        </w:rPr>
        <w:t xml:space="preserve"> </w:t>
      </w:r>
      <w:r>
        <w:rPr>
          <w:rFonts w:ascii="BiauKai" w:eastAsia="BiauKai" w:hAnsi="BiauKai" w:cs="BiauKai"/>
          <w:color w:val="000000"/>
          <w:sz w:val="28"/>
          <w:szCs w:val="28"/>
        </w:rPr>
        <w:t>保障名額：設置原住民保障名額，額度至少一名，由審查小組審核議定之；原住民保障名額之學業成績為前學年總成績</w:t>
      </w:r>
      <w:r>
        <w:rPr>
          <w:rFonts w:ascii="BiauKai" w:eastAsia="BiauKai" w:hAnsi="BiauKai" w:cs="BiauKai"/>
          <w:color w:val="000000"/>
          <w:sz w:val="28"/>
          <w:szCs w:val="28"/>
        </w:rPr>
        <w:t>60</w:t>
      </w:r>
      <w:r>
        <w:rPr>
          <w:rFonts w:ascii="BiauKai" w:eastAsia="BiauKai" w:hAnsi="BiauKai" w:cs="BiauKai"/>
          <w:color w:val="000000"/>
          <w:sz w:val="28"/>
          <w:szCs w:val="28"/>
        </w:rPr>
        <w:t>分（含）以上即可申請。</w:t>
      </w:r>
    </w:p>
    <w:p w14:paraId="00000011" w14:textId="77777777" w:rsidR="003D22DA" w:rsidRDefault="00620945">
      <w:p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第七條</w:t>
      </w:r>
      <w:r>
        <w:rPr>
          <w:rFonts w:ascii="BiauKai" w:eastAsia="BiauKai" w:hAnsi="BiauKai" w:cs="BiauKai"/>
          <w:color w:val="000000"/>
          <w:sz w:val="28"/>
          <w:szCs w:val="28"/>
        </w:rPr>
        <w:t xml:space="preserve"> </w:t>
      </w:r>
      <w:r>
        <w:rPr>
          <w:rFonts w:ascii="BiauKai" w:eastAsia="BiauKai" w:hAnsi="BiauKai" w:cs="BiauKai"/>
          <w:color w:val="000000"/>
          <w:sz w:val="28"/>
          <w:szCs w:val="28"/>
        </w:rPr>
        <w:t>申請方式：</w:t>
      </w:r>
    </w:p>
    <w:p w14:paraId="00000012" w14:textId="77777777" w:rsidR="003D22DA" w:rsidRDefault="00620945">
      <w:p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一、依公告期限內填具申請表及檢附規定表件至本校業務承辦單位申請。</w:t>
      </w:r>
    </w:p>
    <w:p w14:paraId="00000013" w14:textId="77777777" w:rsidR="003D22DA" w:rsidRDefault="00620945">
      <w:p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二、助學金獲得者不得重覆申請。</w:t>
      </w:r>
    </w:p>
    <w:p w14:paraId="00000014" w14:textId="0CAA0C6B" w:rsidR="003D22DA" w:rsidRDefault="00620945">
      <w:p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第八條</w:t>
      </w:r>
      <w:r>
        <w:rPr>
          <w:rFonts w:ascii="BiauKai" w:eastAsia="BiauKai" w:hAnsi="BiauKai" w:cs="BiauKai"/>
          <w:color w:val="000000"/>
          <w:sz w:val="28"/>
          <w:szCs w:val="28"/>
        </w:rPr>
        <w:t xml:space="preserve"> </w:t>
      </w:r>
      <w:r>
        <w:rPr>
          <w:rFonts w:ascii="BiauKai" w:eastAsia="BiauKai" w:hAnsi="BiauKai" w:cs="BiauKai"/>
          <w:color w:val="000000"/>
          <w:sz w:val="28"/>
          <w:szCs w:val="28"/>
        </w:rPr>
        <w:t>補助助學金額：每人每學年</w:t>
      </w:r>
      <w:r w:rsidR="00F62BD3">
        <w:rPr>
          <w:rFonts w:ascii="BiauKai" w:eastAsia="BiauKai" w:hAnsi="BiauKai" w:cs="BiauKai"/>
          <w:color w:val="000000"/>
          <w:sz w:val="28"/>
          <w:szCs w:val="28"/>
        </w:rPr>
        <w:t>1</w:t>
      </w:r>
      <w:r w:rsidR="00F62BD3">
        <w:rPr>
          <w:rFonts w:ascii="BiauKai" w:eastAsia="BiauKai" w:hAnsi="BiauKai" w:cs="BiauKai"/>
          <w:color w:val="000000"/>
          <w:sz w:val="28"/>
          <w:szCs w:val="28"/>
        </w:rPr>
        <w:t>2</w:t>
      </w:r>
      <w:bookmarkStart w:id="0" w:name="_GoBack"/>
      <w:bookmarkEnd w:id="0"/>
      <w:r>
        <w:rPr>
          <w:rFonts w:ascii="BiauKai" w:eastAsia="BiauKai" w:hAnsi="BiauKai" w:cs="BiauKai"/>
          <w:color w:val="000000"/>
          <w:sz w:val="28"/>
          <w:szCs w:val="28"/>
        </w:rPr>
        <w:t>萬元整，補助助學領取最高年限，為獲補助學年起撥發至如期畢業之學年止。</w:t>
      </w:r>
    </w:p>
    <w:p w14:paraId="00000015" w14:textId="77777777" w:rsidR="003D22DA" w:rsidRDefault="00620945">
      <w:pPr>
        <w:pBdr>
          <w:top w:val="nil"/>
          <w:left w:val="nil"/>
          <w:bottom w:val="nil"/>
          <w:right w:val="nil"/>
          <w:between w:val="nil"/>
        </w:pBdr>
        <w:tabs>
          <w:tab w:val="left" w:pos="1080"/>
        </w:tabs>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第九條</w:t>
      </w:r>
      <w:r>
        <w:rPr>
          <w:rFonts w:ascii="BiauKai" w:eastAsia="BiauKai" w:hAnsi="BiauKai" w:cs="BiauKai"/>
          <w:color w:val="000000"/>
          <w:sz w:val="28"/>
          <w:szCs w:val="28"/>
        </w:rPr>
        <w:t xml:space="preserve"> </w:t>
      </w:r>
      <w:r>
        <w:rPr>
          <w:rFonts w:ascii="BiauKai" w:eastAsia="BiauKai" w:hAnsi="BiauKai" w:cs="BiauKai"/>
          <w:color w:val="000000"/>
          <w:sz w:val="28"/>
          <w:szCs w:val="28"/>
        </w:rPr>
        <w:t>助學金評選：由光田綜合醫院組成審查小組採面談方式審核議定之。</w:t>
      </w:r>
    </w:p>
    <w:p w14:paraId="00000016" w14:textId="77777777" w:rsidR="003D22DA" w:rsidRDefault="00620945">
      <w:p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第十條</w:t>
      </w:r>
      <w:r>
        <w:rPr>
          <w:rFonts w:ascii="BiauKai" w:eastAsia="BiauKai" w:hAnsi="BiauKai" w:cs="BiauKai"/>
          <w:color w:val="000000"/>
          <w:sz w:val="28"/>
          <w:szCs w:val="28"/>
        </w:rPr>
        <w:t xml:space="preserve"> </w:t>
      </w:r>
      <w:r>
        <w:rPr>
          <w:rFonts w:ascii="BiauKai" w:eastAsia="BiauKai" w:hAnsi="BiauKai" w:cs="BiauKai"/>
          <w:color w:val="000000"/>
          <w:sz w:val="28"/>
          <w:szCs w:val="28"/>
        </w:rPr>
        <w:t>義務與責任：</w:t>
      </w:r>
    </w:p>
    <w:p w14:paraId="00000017" w14:textId="77777777" w:rsidR="003D22DA" w:rsidRDefault="00620945">
      <w:p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一、助學金獲得者需於通知獲獎之</w:t>
      </w:r>
      <w:r>
        <w:rPr>
          <w:rFonts w:ascii="BiauKai" w:eastAsia="BiauKai" w:hAnsi="BiauKai" w:cs="BiauKai"/>
          <w:color w:val="000000"/>
          <w:sz w:val="28"/>
          <w:szCs w:val="28"/>
        </w:rPr>
        <w:t>2</w:t>
      </w:r>
      <w:r>
        <w:rPr>
          <w:rFonts w:ascii="BiauKai" w:eastAsia="BiauKai" w:hAnsi="BiauKai" w:cs="BiauKai"/>
          <w:color w:val="000000"/>
          <w:sz w:val="28"/>
          <w:szCs w:val="28"/>
        </w:rPr>
        <w:t>週內填寫回饋服務切結書，並辦理完成領款相關程序。</w:t>
      </w:r>
    </w:p>
    <w:p w14:paraId="00000018" w14:textId="77777777" w:rsidR="003D22DA" w:rsidRDefault="00620945">
      <w:p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二、助學金獲得者需如期畢業。</w:t>
      </w:r>
    </w:p>
    <w:p w14:paraId="00000019" w14:textId="77777777" w:rsidR="003D22DA" w:rsidRDefault="00620945">
      <w:p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三、助學金獲得者應於畢業當年至光田綜合醫院指定院區回饋工作。</w:t>
      </w:r>
    </w:p>
    <w:p w14:paraId="0000001A" w14:textId="77777777" w:rsidR="003D22DA" w:rsidRDefault="00620945">
      <w:p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四、助學金獲得者回饋工作期限，與領取助學金之年數相同。</w:t>
      </w:r>
    </w:p>
    <w:p w14:paraId="0000001B" w14:textId="77777777" w:rsidR="003D22DA" w:rsidRDefault="00620945">
      <w:p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五、助學金獲得者應於畢業後一年內取得護士檢覈考或護理師檢覈考通過資格。</w:t>
      </w:r>
    </w:p>
    <w:p w14:paraId="0000001C" w14:textId="77777777" w:rsidR="003D22DA" w:rsidRDefault="00620945">
      <w:p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六、助學金獲得者回饋工作期間待遇及工作要求，均依光田綜合醫院相關辦法實施。</w:t>
      </w:r>
    </w:p>
    <w:p w14:paraId="0000001D" w14:textId="77777777" w:rsidR="003D22DA" w:rsidRDefault="00620945">
      <w:p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第十一條</w:t>
      </w:r>
      <w:r>
        <w:rPr>
          <w:rFonts w:ascii="BiauKai" w:eastAsia="BiauKai" w:hAnsi="BiauKai" w:cs="BiauKai"/>
          <w:color w:val="000000"/>
          <w:sz w:val="28"/>
          <w:szCs w:val="28"/>
        </w:rPr>
        <w:t xml:space="preserve"> </w:t>
      </w:r>
      <w:r>
        <w:rPr>
          <w:rFonts w:ascii="BiauKai" w:eastAsia="BiauKai" w:hAnsi="BiauKai" w:cs="BiauKai"/>
          <w:color w:val="000000"/>
          <w:sz w:val="28"/>
          <w:szCs w:val="28"/>
        </w:rPr>
        <w:t>其它：</w:t>
      </w:r>
    </w:p>
    <w:p w14:paraId="0000001E" w14:textId="77777777" w:rsidR="003D22DA" w:rsidRDefault="00620945">
      <w:p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一、助學金獲得者未於</w:t>
      </w:r>
      <w:r>
        <w:rPr>
          <w:rFonts w:ascii="BiauKai" w:eastAsia="BiauKai" w:hAnsi="BiauKai" w:cs="BiauKai"/>
          <w:color w:val="000000"/>
          <w:sz w:val="28"/>
          <w:szCs w:val="28"/>
        </w:rPr>
        <w:t>2</w:t>
      </w:r>
      <w:r>
        <w:rPr>
          <w:rFonts w:ascii="BiauKai" w:eastAsia="BiauKai" w:hAnsi="BiauKai" w:cs="BiauKai"/>
          <w:color w:val="000000"/>
          <w:sz w:val="28"/>
          <w:szCs w:val="28"/>
        </w:rPr>
        <w:t>週內填寫回饋服務切結書，並辦理完成領款相關程序</w:t>
      </w:r>
      <w:r>
        <w:rPr>
          <w:rFonts w:ascii="BiauKai" w:eastAsia="BiauKai" w:hAnsi="BiauKai" w:cs="BiauKai"/>
          <w:color w:val="000000"/>
          <w:sz w:val="28"/>
          <w:szCs w:val="28"/>
        </w:rPr>
        <w:lastRenderedPageBreak/>
        <w:t>者，視同自動棄權，得由辦理單位通知後補者遞補之，不得異議；惟棄權者次年仍具申請資格。</w:t>
      </w:r>
    </w:p>
    <w:p w14:paraId="0000001F" w14:textId="77777777" w:rsidR="003D22DA" w:rsidRDefault="00620945">
      <w:p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二、助學金獲得者未如期畢業，依審查小組議定賠償方案，賠償金額不超過已領助學金之補助金額，助學金獲得者不得異議。</w:t>
      </w:r>
    </w:p>
    <w:p w14:paraId="00000020" w14:textId="77777777" w:rsidR="003D22DA" w:rsidRDefault="00620945">
      <w:p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三、助學金獲得者未至光田綜合醫院或至光田綜合醫院服務未滿應服務年限二分之一者，應賠償已獲得助學金之全額，並應於光田綜合醫院通知後</w:t>
      </w:r>
      <w:r>
        <w:rPr>
          <w:rFonts w:ascii="BiauKai" w:eastAsia="BiauKai" w:hAnsi="BiauKai" w:cs="BiauKai"/>
          <w:color w:val="000000"/>
          <w:sz w:val="28"/>
          <w:szCs w:val="28"/>
        </w:rPr>
        <w:t>1</w:t>
      </w:r>
      <w:r>
        <w:rPr>
          <w:rFonts w:ascii="BiauKai" w:eastAsia="BiauKai" w:hAnsi="BiauKai" w:cs="BiauKai"/>
          <w:color w:val="000000"/>
          <w:sz w:val="28"/>
          <w:szCs w:val="28"/>
        </w:rPr>
        <w:t>個月內以現金方式賠償。</w:t>
      </w:r>
    </w:p>
    <w:p w14:paraId="00000021" w14:textId="77777777" w:rsidR="003D22DA" w:rsidRDefault="00620945">
      <w:p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四、助學金獲得者至光田綜合醫院服務滿二分之一但未滿應服務年限者，應賠償已獲得助學金之半額，並</w:t>
      </w:r>
      <w:r>
        <w:rPr>
          <w:rFonts w:ascii="BiauKai" w:eastAsia="BiauKai" w:hAnsi="BiauKai" w:cs="BiauKai"/>
          <w:color w:val="000000"/>
          <w:sz w:val="28"/>
          <w:szCs w:val="28"/>
        </w:rPr>
        <w:t>應於光田綜合醫院通知後</w:t>
      </w:r>
      <w:r>
        <w:rPr>
          <w:rFonts w:ascii="BiauKai" w:eastAsia="BiauKai" w:hAnsi="BiauKai" w:cs="BiauKai"/>
          <w:color w:val="000000"/>
          <w:sz w:val="28"/>
          <w:szCs w:val="28"/>
        </w:rPr>
        <w:t>1</w:t>
      </w:r>
      <w:r>
        <w:rPr>
          <w:rFonts w:ascii="BiauKai" w:eastAsia="BiauKai" w:hAnsi="BiauKai" w:cs="BiauKai"/>
          <w:color w:val="000000"/>
          <w:sz w:val="28"/>
          <w:szCs w:val="28"/>
        </w:rPr>
        <w:t>個月內以現金方式賠償。</w:t>
      </w:r>
    </w:p>
    <w:p w14:paraId="00000022" w14:textId="77777777" w:rsidR="003D22DA" w:rsidRDefault="00620945">
      <w:p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五、五專生領取助學金者，依領取助學金之年數，畢業後須於承諾服務期滿年數一至二年後始得申請在職進修。其申請時間為：領取助學金一年者，服務時間須滿一年；領取助學金二年（含）以上者，服務時間須滿二年。</w:t>
      </w:r>
    </w:p>
    <w:p w14:paraId="00000023" w14:textId="77777777" w:rsidR="003D22DA" w:rsidRDefault="00620945">
      <w:p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六、助學金獲得者未於畢業後一年內取得護士檢覈考或護理師檢覈考通過資格，依光田綜合醫院相關部門議定賠償方案及是否繼續完成服務年限，其賠償金額不超過已領助學金之補助金額，助學金獲得者不得異議。</w:t>
      </w:r>
    </w:p>
    <w:p w14:paraId="00000024" w14:textId="77777777" w:rsidR="003D22DA" w:rsidRDefault="00620945">
      <w:p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七、光田綜合醫院保有未履行義務及賠償者之法律追訴權。</w:t>
      </w:r>
    </w:p>
    <w:p w14:paraId="00000025" w14:textId="77777777" w:rsidR="003D22DA" w:rsidRDefault="00620945">
      <w:pPr>
        <w:pBdr>
          <w:top w:val="nil"/>
          <w:left w:val="nil"/>
          <w:bottom w:val="nil"/>
          <w:right w:val="nil"/>
          <w:between w:val="nil"/>
        </w:pBdr>
        <w:spacing w:line="240" w:lineRule="auto"/>
        <w:ind w:left="1" w:hanging="3"/>
        <w:rPr>
          <w:rFonts w:ascii="BiauKai" w:eastAsia="BiauKai" w:hAnsi="BiauKai" w:cs="BiauKai"/>
          <w:color w:val="000000"/>
          <w:sz w:val="28"/>
          <w:szCs w:val="28"/>
        </w:rPr>
      </w:pPr>
      <w:r>
        <w:rPr>
          <w:rFonts w:ascii="BiauKai" w:eastAsia="BiauKai" w:hAnsi="BiauKai" w:cs="BiauKai"/>
          <w:color w:val="000000"/>
          <w:sz w:val="28"/>
          <w:szCs w:val="28"/>
        </w:rPr>
        <w:t>第十二條</w:t>
      </w:r>
      <w:r>
        <w:rPr>
          <w:rFonts w:ascii="BiauKai" w:eastAsia="BiauKai" w:hAnsi="BiauKai" w:cs="BiauKai"/>
          <w:color w:val="000000"/>
          <w:sz w:val="28"/>
          <w:szCs w:val="28"/>
        </w:rPr>
        <w:t xml:space="preserve"> </w:t>
      </w:r>
      <w:r>
        <w:rPr>
          <w:rFonts w:ascii="BiauKai" w:eastAsia="BiauKai" w:hAnsi="BiauKai" w:cs="BiauKai"/>
          <w:color w:val="000000"/>
          <w:sz w:val="28"/>
          <w:szCs w:val="28"/>
        </w:rPr>
        <w:t>本辦法經行政會</w:t>
      </w:r>
      <w:r>
        <w:rPr>
          <w:rFonts w:ascii="BiauKai" w:eastAsia="BiauKai" w:hAnsi="BiauKai" w:cs="BiauKai"/>
          <w:color w:val="000000"/>
          <w:sz w:val="28"/>
          <w:szCs w:val="28"/>
        </w:rPr>
        <w:t>議通過，陳請校長核定後施行，修正時亦同。</w:t>
      </w:r>
    </w:p>
    <w:p w14:paraId="00000026" w14:textId="77777777" w:rsidR="003D22DA" w:rsidRDefault="003D22DA">
      <w:pPr>
        <w:pBdr>
          <w:top w:val="nil"/>
          <w:left w:val="nil"/>
          <w:bottom w:val="nil"/>
          <w:right w:val="nil"/>
          <w:between w:val="nil"/>
        </w:pBdr>
        <w:spacing w:line="240" w:lineRule="auto"/>
        <w:ind w:left="0" w:hanging="2"/>
        <w:rPr>
          <w:rFonts w:ascii="BiauKai" w:eastAsia="BiauKai" w:hAnsi="BiauKai" w:cs="BiauKai"/>
          <w:color w:val="000000"/>
          <w:sz w:val="20"/>
          <w:szCs w:val="20"/>
        </w:rPr>
      </w:pPr>
    </w:p>
    <w:p w14:paraId="00000027" w14:textId="77777777" w:rsidR="003D22DA" w:rsidRDefault="00620945">
      <w:pPr>
        <w:pBdr>
          <w:top w:val="nil"/>
          <w:left w:val="nil"/>
          <w:bottom w:val="nil"/>
          <w:right w:val="nil"/>
          <w:between w:val="nil"/>
        </w:pBdr>
        <w:spacing w:line="240" w:lineRule="auto"/>
        <w:ind w:left="0" w:hanging="2"/>
        <w:rPr>
          <w:rFonts w:ascii="BiauKai" w:eastAsia="BiauKai" w:hAnsi="BiauKai" w:cs="BiauKai"/>
          <w:color w:val="000000"/>
          <w:sz w:val="20"/>
          <w:szCs w:val="20"/>
        </w:rPr>
      </w:pPr>
      <w:r>
        <w:rPr>
          <w:rFonts w:ascii="BiauKai" w:eastAsia="BiauKai" w:hAnsi="BiauKai" w:cs="BiauKai"/>
          <w:color w:val="000000"/>
          <w:sz w:val="20"/>
          <w:szCs w:val="20"/>
        </w:rPr>
        <w:t>中華民國</w:t>
      </w:r>
      <w:r>
        <w:rPr>
          <w:rFonts w:ascii="BiauKai" w:eastAsia="BiauKai" w:hAnsi="BiauKai" w:cs="BiauKai"/>
          <w:color w:val="000000"/>
          <w:sz w:val="20"/>
          <w:szCs w:val="20"/>
        </w:rPr>
        <w:t>94</w:t>
      </w:r>
      <w:r>
        <w:rPr>
          <w:rFonts w:ascii="BiauKai" w:eastAsia="BiauKai" w:hAnsi="BiauKai" w:cs="BiauKai"/>
          <w:color w:val="000000"/>
          <w:sz w:val="20"/>
          <w:szCs w:val="20"/>
        </w:rPr>
        <w:t>年</w:t>
      </w:r>
      <w:r>
        <w:rPr>
          <w:rFonts w:ascii="BiauKai" w:eastAsia="BiauKai" w:hAnsi="BiauKai" w:cs="BiauKai"/>
          <w:color w:val="000000"/>
          <w:sz w:val="20"/>
          <w:szCs w:val="20"/>
        </w:rPr>
        <w:t>09</w:t>
      </w:r>
      <w:r>
        <w:rPr>
          <w:rFonts w:ascii="BiauKai" w:eastAsia="BiauKai" w:hAnsi="BiauKai" w:cs="BiauKai"/>
          <w:color w:val="000000"/>
          <w:sz w:val="20"/>
          <w:szCs w:val="20"/>
        </w:rPr>
        <w:t>月</w:t>
      </w:r>
      <w:r>
        <w:rPr>
          <w:rFonts w:ascii="BiauKai" w:eastAsia="BiauKai" w:hAnsi="BiauKai" w:cs="BiauKai"/>
          <w:color w:val="000000"/>
          <w:sz w:val="20"/>
          <w:szCs w:val="20"/>
        </w:rPr>
        <w:t>13</w:t>
      </w:r>
      <w:r>
        <w:rPr>
          <w:rFonts w:ascii="BiauKai" w:eastAsia="BiauKai" w:hAnsi="BiauKai" w:cs="BiauKai"/>
          <w:color w:val="000000"/>
          <w:sz w:val="20"/>
          <w:szCs w:val="20"/>
        </w:rPr>
        <w:t>日行政會議訂定通過</w:t>
      </w:r>
    </w:p>
    <w:p w14:paraId="00000028" w14:textId="77777777" w:rsidR="003D22DA" w:rsidRDefault="00620945">
      <w:pPr>
        <w:pBdr>
          <w:top w:val="nil"/>
          <w:left w:val="nil"/>
          <w:bottom w:val="nil"/>
          <w:right w:val="nil"/>
          <w:between w:val="nil"/>
        </w:pBdr>
        <w:spacing w:line="240" w:lineRule="auto"/>
        <w:ind w:left="0" w:hanging="2"/>
        <w:rPr>
          <w:rFonts w:ascii="BiauKai" w:eastAsia="BiauKai" w:hAnsi="BiauKai" w:cs="BiauKai"/>
          <w:color w:val="000000"/>
          <w:sz w:val="20"/>
          <w:szCs w:val="20"/>
        </w:rPr>
      </w:pPr>
      <w:r>
        <w:rPr>
          <w:rFonts w:ascii="BiauKai" w:eastAsia="BiauKai" w:hAnsi="BiauKai" w:cs="BiauKai"/>
          <w:color w:val="000000"/>
          <w:sz w:val="20"/>
          <w:szCs w:val="20"/>
        </w:rPr>
        <w:t>中華民國</w:t>
      </w:r>
      <w:r>
        <w:rPr>
          <w:rFonts w:ascii="BiauKai" w:eastAsia="BiauKai" w:hAnsi="BiauKai" w:cs="BiauKai"/>
          <w:color w:val="000000"/>
          <w:sz w:val="20"/>
          <w:szCs w:val="20"/>
        </w:rPr>
        <w:t>95</w:t>
      </w:r>
      <w:r>
        <w:rPr>
          <w:rFonts w:ascii="BiauKai" w:eastAsia="BiauKai" w:hAnsi="BiauKai" w:cs="BiauKai"/>
          <w:color w:val="000000"/>
          <w:sz w:val="20"/>
          <w:szCs w:val="20"/>
        </w:rPr>
        <w:t>年</w:t>
      </w:r>
      <w:r>
        <w:rPr>
          <w:rFonts w:ascii="BiauKai" w:eastAsia="BiauKai" w:hAnsi="BiauKai" w:cs="BiauKai"/>
          <w:color w:val="000000"/>
          <w:sz w:val="20"/>
          <w:szCs w:val="20"/>
        </w:rPr>
        <w:t>06</w:t>
      </w:r>
      <w:r>
        <w:rPr>
          <w:rFonts w:ascii="BiauKai" w:eastAsia="BiauKai" w:hAnsi="BiauKai" w:cs="BiauKai"/>
          <w:color w:val="000000"/>
          <w:sz w:val="20"/>
          <w:szCs w:val="20"/>
        </w:rPr>
        <w:t>月</w:t>
      </w:r>
      <w:r>
        <w:rPr>
          <w:rFonts w:ascii="BiauKai" w:eastAsia="BiauKai" w:hAnsi="BiauKai" w:cs="BiauKai"/>
          <w:color w:val="000000"/>
          <w:sz w:val="20"/>
          <w:szCs w:val="20"/>
        </w:rPr>
        <w:t>20</w:t>
      </w:r>
      <w:r>
        <w:rPr>
          <w:rFonts w:ascii="BiauKai" w:eastAsia="BiauKai" w:hAnsi="BiauKai" w:cs="BiauKai"/>
          <w:color w:val="000000"/>
          <w:sz w:val="20"/>
          <w:szCs w:val="20"/>
        </w:rPr>
        <w:t>日行政會議修正通過</w:t>
      </w:r>
    </w:p>
    <w:p w14:paraId="00000029" w14:textId="77777777" w:rsidR="003D22DA" w:rsidRDefault="00620945">
      <w:pPr>
        <w:pBdr>
          <w:top w:val="nil"/>
          <w:left w:val="nil"/>
          <w:bottom w:val="nil"/>
          <w:right w:val="nil"/>
          <w:between w:val="nil"/>
        </w:pBdr>
        <w:spacing w:line="240" w:lineRule="auto"/>
        <w:ind w:left="0" w:hanging="2"/>
        <w:rPr>
          <w:rFonts w:ascii="BiauKai" w:eastAsia="BiauKai" w:hAnsi="BiauKai" w:cs="BiauKai"/>
          <w:color w:val="000000"/>
          <w:sz w:val="20"/>
          <w:szCs w:val="20"/>
        </w:rPr>
      </w:pPr>
      <w:r>
        <w:rPr>
          <w:rFonts w:ascii="BiauKai" w:eastAsia="BiauKai" w:hAnsi="BiauKai" w:cs="BiauKai"/>
          <w:color w:val="000000"/>
          <w:sz w:val="20"/>
          <w:szCs w:val="20"/>
        </w:rPr>
        <w:t>中華民國</w:t>
      </w:r>
      <w:r>
        <w:rPr>
          <w:rFonts w:ascii="BiauKai" w:eastAsia="BiauKai" w:hAnsi="BiauKai" w:cs="BiauKai"/>
          <w:color w:val="000000"/>
          <w:sz w:val="20"/>
          <w:szCs w:val="20"/>
        </w:rPr>
        <w:t>95</w:t>
      </w:r>
      <w:r>
        <w:rPr>
          <w:rFonts w:ascii="BiauKai" w:eastAsia="BiauKai" w:hAnsi="BiauKai" w:cs="BiauKai"/>
          <w:color w:val="000000"/>
          <w:sz w:val="20"/>
          <w:szCs w:val="20"/>
        </w:rPr>
        <w:t>年</w:t>
      </w:r>
      <w:r>
        <w:rPr>
          <w:rFonts w:ascii="BiauKai" w:eastAsia="BiauKai" w:hAnsi="BiauKai" w:cs="BiauKai"/>
          <w:color w:val="000000"/>
          <w:sz w:val="20"/>
          <w:szCs w:val="20"/>
        </w:rPr>
        <w:t>09</w:t>
      </w:r>
      <w:r>
        <w:rPr>
          <w:rFonts w:ascii="BiauKai" w:eastAsia="BiauKai" w:hAnsi="BiauKai" w:cs="BiauKai"/>
          <w:color w:val="000000"/>
          <w:sz w:val="20"/>
          <w:szCs w:val="20"/>
        </w:rPr>
        <w:t>月</w:t>
      </w:r>
      <w:r>
        <w:rPr>
          <w:rFonts w:ascii="BiauKai" w:eastAsia="BiauKai" w:hAnsi="BiauKai" w:cs="BiauKai"/>
          <w:color w:val="000000"/>
          <w:sz w:val="20"/>
          <w:szCs w:val="20"/>
        </w:rPr>
        <w:t>19</w:t>
      </w:r>
      <w:r>
        <w:rPr>
          <w:rFonts w:ascii="BiauKai" w:eastAsia="BiauKai" w:hAnsi="BiauKai" w:cs="BiauKai"/>
          <w:color w:val="000000"/>
          <w:sz w:val="20"/>
          <w:szCs w:val="20"/>
        </w:rPr>
        <w:t>日行政會議修正通過</w:t>
      </w:r>
    </w:p>
    <w:p w14:paraId="0000002A" w14:textId="77777777" w:rsidR="003D22DA" w:rsidRDefault="00620945">
      <w:pPr>
        <w:pBdr>
          <w:top w:val="nil"/>
          <w:left w:val="nil"/>
          <w:bottom w:val="nil"/>
          <w:right w:val="nil"/>
          <w:between w:val="nil"/>
        </w:pBdr>
        <w:spacing w:line="240" w:lineRule="auto"/>
        <w:ind w:left="0" w:hanging="2"/>
        <w:rPr>
          <w:rFonts w:ascii="BiauKai" w:eastAsia="BiauKai" w:hAnsi="BiauKai" w:cs="BiauKai"/>
          <w:color w:val="000000"/>
          <w:sz w:val="20"/>
          <w:szCs w:val="20"/>
        </w:rPr>
      </w:pPr>
      <w:r>
        <w:rPr>
          <w:rFonts w:ascii="BiauKai" w:eastAsia="BiauKai" w:hAnsi="BiauKai" w:cs="BiauKai"/>
          <w:color w:val="000000"/>
          <w:sz w:val="20"/>
          <w:szCs w:val="20"/>
        </w:rPr>
        <w:t>中華民國</w:t>
      </w:r>
      <w:r>
        <w:rPr>
          <w:rFonts w:ascii="BiauKai" w:eastAsia="BiauKai" w:hAnsi="BiauKai" w:cs="BiauKai"/>
          <w:color w:val="000000"/>
          <w:sz w:val="20"/>
          <w:szCs w:val="20"/>
        </w:rPr>
        <w:t>96</w:t>
      </w:r>
      <w:r>
        <w:rPr>
          <w:rFonts w:ascii="BiauKai" w:eastAsia="BiauKai" w:hAnsi="BiauKai" w:cs="BiauKai"/>
          <w:color w:val="000000"/>
          <w:sz w:val="20"/>
          <w:szCs w:val="20"/>
        </w:rPr>
        <w:t>年</w:t>
      </w:r>
      <w:r>
        <w:rPr>
          <w:rFonts w:ascii="BiauKai" w:eastAsia="BiauKai" w:hAnsi="BiauKai" w:cs="BiauKai"/>
          <w:color w:val="000000"/>
          <w:sz w:val="20"/>
          <w:szCs w:val="20"/>
        </w:rPr>
        <w:t>03</w:t>
      </w:r>
      <w:r>
        <w:rPr>
          <w:rFonts w:ascii="BiauKai" w:eastAsia="BiauKai" w:hAnsi="BiauKai" w:cs="BiauKai"/>
          <w:color w:val="000000"/>
          <w:sz w:val="20"/>
          <w:szCs w:val="20"/>
        </w:rPr>
        <w:t>月</w:t>
      </w:r>
      <w:r>
        <w:rPr>
          <w:rFonts w:ascii="BiauKai" w:eastAsia="BiauKai" w:hAnsi="BiauKai" w:cs="BiauKai"/>
          <w:color w:val="000000"/>
          <w:sz w:val="20"/>
          <w:szCs w:val="20"/>
        </w:rPr>
        <w:t>13</w:t>
      </w:r>
      <w:r>
        <w:rPr>
          <w:rFonts w:ascii="BiauKai" w:eastAsia="BiauKai" w:hAnsi="BiauKai" w:cs="BiauKai"/>
          <w:color w:val="000000"/>
          <w:sz w:val="20"/>
          <w:szCs w:val="20"/>
        </w:rPr>
        <w:t>日行政會議修正通過</w:t>
      </w:r>
    </w:p>
    <w:p w14:paraId="0000002B" w14:textId="77777777" w:rsidR="003D22DA" w:rsidRDefault="00620945">
      <w:pPr>
        <w:pBdr>
          <w:top w:val="nil"/>
          <w:left w:val="nil"/>
          <w:bottom w:val="nil"/>
          <w:right w:val="nil"/>
          <w:between w:val="nil"/>
        </w:pBdr>
        <w:spacing w:line="240" w:lineRule="auto"/>
        <w:ind w:left="0" w:hanging="2"/>
        <w:rPr>
          <w:rFonts w:ascii="BiauKai" w:eastAsia="BiauKai" w:hAnsi="BiauKai" w:cs="BiauKai"/>
          <w:color w:val="000000"/>
          <w:sz w:val="20"/>
          <w:szCs w:val="20"/>
        </w:rPr>
      </w:pPr>
      <w:r>
        <w:rPr>
          <w:rFonts w:ascii="BiauKai" w:eastAsia="BiauKai" w:hAnsi="BiauKai" w:cs="BiauKai"/>
          <w:color w:val="000000"/>
          <w:sz w:val="20"/>
          <w:szCs w:val="20"/>
        </w:rPr>
        <w:t>中華民國</w:t>
      </w:r>
      <w:r>
        <w:rPr>
          <w:rFonts w:ascii="BiauKai" w:eastAsia="BiauKai" w:hAnsi="BiauKai" w:cs="BiauKai"/>
          <w:color w:val="000000"/>
          <w:sz w:val="20"/>
          <w:szCs w:val="20"/>
        </w:rPr>
        <w:t>96</w:t>
      </w:r>
      <w:r>
        <w:rPr>
          <w:rFonts w:ascii="BiauKai" w:eastAsia="BiauKai" w:hAnsi="BiauKai" w:cs="BiauKai"/>
          <w:color w:val="000000"/>
          <w:sz w:val="20"/>
          <w:szCs w:val="20"/>
        </w:rPr>
        <w:t>年</w:t>
      </w:r>
      <w:r>
        <w:rPr>
          <w:rFonts w:ascii="BiauKai" w:eastAsia="BiauKai" w:hAnsi="BiauKai" w:cs="BiauKai"/>
          <w:color w:val="000000"/>
          <w:sz w:val="20"/>
          <w:szCs w:val="20"/>
        </w:rPr>
        <w:t>12</w:t>
      </w:r>
      <w:r>
        <w:rPr>
          <w:rFonts w:ascii="BiauKai" w:eastAsia="BiauKai" w:hAnsi="BiauKai" w:cs="BiauKai"/>
          <w:color w:val="000000"/>
          <w:sz w:val="20"/>
          <w:szCs w:val="20"/>
        </w:rPr>
        <w:t>月</w:t>
      </w:r>
      <w:r>
        <w:rPr>
          <w:rFonts w:ascii="BiauKai" w:eastAsia="BiauKai" w:hAnsi="BiauKai" w:cs="BiauKai"/>
          <w:color w:val="000000"/>
          <w:sz w:val="20"/>
          <w:szCs w:val="20"/>
        </w:rPr>
        <w:t>11</w:t>
      </w:r>
      <w:r>
        <w:rPr>
          <w:rFonts w:ascii="BiauKai" w:eastAsia="BiauKai" w:hAnsi="BiauKai" w:cs="BiauKai"/>
          <w:color w:val="000000"/>
          <w:sz w:val="20"/>
          <w:szCs w:val="20"/>
        </w:rPr>
        <w:t>日行政會議修正通過</w:t>
      </w:r>
    </w:p>
    <w:p w14:paraId="0000002C" w14:textId="77777777" w:rsidR="003D22DA" w:rsidRDefault="00620945">
      <w:pPr>
        <w:pBdr>
          <w:top w:val="nil"/>
          <w:left w:val="nil"/>
          <w:bottom w:val="nil"/>
          <w:right w:val="nil"/>
          <w:between w:val="nil"/>
        </w:pBdr>
        <w:spacing w:line="240" w:lineRule="auto"/>
        <w:ind w:left="0" w:hanging="2"/>
        <w:rPr>
          <w:rFonts w:ascii="BiauKai" w:eastAsia="BiauKai" w:hAnsi="BiauKai" w:cs="BiauKai"/>
          <w:color w:val="000000"/>
          <w:sz w:val="20"/>
          <w:szCs w:val="20"/>
        </w:rPr>
      </w:pPr>
      <w:r>
        <w:rPr>
          <w:rFonts w:ascii="BiauKai" w:eastAsia="BiauKai" w:hAnsi="BiauKai" w:cs="BiauKai"/>
          <w:color w:val="000000"/>
          <w:sz w:val="20"/>
          <w:szCs w:val="20"/>
        </w:rPr>
        <w:t>中華民國</w:t>
      </w:r>
      <w:r>
        <w:rPr>
          <w:rFonts w:ascii="BiauKai" w:eastAsia="BiauKai" w:hAnsi="BiauKai" w:cs="BiauKai"/>
          <w:color w:val="000000"/>
          <w:sz w:val="20"/>
          <w:szCs w:val="20"/>
        </w:rPr>
        <w:t>98</w:t>
      </w:r>
      <w:r>
        <w:rPr>
          <w:rFonts w:ascii="BiauKai" w:eastAsia="BiauKai" w:hAnsi="BiauKai" w:cs="BiauKai"/>
          <w:color w:val="000000"/>
          <w:sz w:val="20"/>
          <w:szCs w:val="20"/>
        </w:rPr>
        <w:t>年</w:t>
      </w:r>
      <w:r>
        <w:rPr>
          <w:rFonts w:ascii="BiauKai" w:eastAsia="BiauKai" w:hAnsi="BiauKai" w:cs="BiauKai"/>
          <w:color w:val="000000"/>
          <w:sz w:val="20"/>
          <w:szCs w:val="20"/>
        </w:rPr>
        <w:t>11</w:t>
      </w:r>
      <w:r>
        <w:rPr>
          <w:rFonts w:ascii="BiauKai" w:eastAsia="BiauKai" w:hAnsi="BiauKai" w:cs="BiauKai"/>
          <w:color w:val="000000"/>
          <w:sz w:val="20"/>
          <w:szCs w:val="20"/>
        </w:rPr>
        <w:t>月</w:t>
      </w:r>
      <w:r>
        <w:rPr>
          <w:rFonts w:ascii="BiauKai" w:eastAsia="BiauKai" w:hAnsi="BiauKai" w:cs="BiauKai"/>
          <w:color w:val="000000"/>
          <w:sz w:val="20"/>
          <w:szCs w:val="20"/>
        </w:rPr>
        <w:t>17</w:t>
      </w:r>
      <w:r>
        <w:rPr>
          <w:rFonts w:ascii="BiauKai" w:eastAsia="BiauKai" w:hAnsi="BiauKai" w:cs="BiauKai"/>
          <w:color w:val="000000"/>
          <w:sz w:val="20"/>
          <w:szCs w:val="20"/>
        </w:rPr>
        <w:t>日行政會議修正通過</w:t>
      </w:r>
    </w:p>
    <w:p w14:paraId="0000002D" w14:textId="77777777" w:rsidR="003D22DA" w:rsidRDefault="00620945">
      <w:pPr>
        <w:pBdr>
          <w:top w:val="nil"/>
          <w:left w:val="nil"/>
          <w:bottom w:val="nil"/>
          <w:right w:val="nil"/>
          <w:between w:val="nil"/>
        </w:pBdr>
        <w:spacing w:line="240" w:lineRule="auto"/>
        <w:ind w:left="0" w:hanging="2"/>
        <w:rPr>
          <w:rFonts w:ascii="BiauKai" w:eastAsia="BiauKai" w:hAnsi="BiauKai" w:cs="BiauKai"/>
          <w:color w:val="000000"/>
          <w:sz w:val="20"/>
          <w:szCs w:val="20"/>
        </w:rPr>
      </w:pPr>
      <w:r>
        <w:rPr>
          <w:rFonts w:ascii="BiauKai" w:eastAsia="BiauKai" w:hAnsi="BiauKai" w:cs="BiauKai"/>
          <w:color w:val="000000"/>
          <w:sz w:val="20"/>
          <w:szCs w:val="20"/>
        </w:rPr>
        <w:t>中華民國</w:t>
      </w:r>
      <w:r>
        <w:rPr>
          <w:rFonts w:ascii="BiauKai" w:eastAsia="BiauKai" w:hAnsi="BiauKai" w:cs="BiauKai"/>
          <w:color w:val="000000"/>
          <w:sz w:val="20"/>
          <w:szCs w:val="20"/>
        </w:rPr>
        <w:t>100</w:t>
      </w:r>
      <w:r>
        <w:rPr>
          <w:rFonts w:ascii="BiauKai" w:eastAsia="BiauKai" w:hAnsi="BiauKai" w:cs="BiauKai"/>
          <w:color w:val="000000"/>
          <w:sz w:val="20"/>
          <w:szCs w:val="20"/>
        </w:rPr>
        <w:t>年</w:t>
      </w:r>
      <w:r>
        <w:rPr>
          <w:rFonts w:ascii="BiauKai" w:eastAsia="BiauKai" w:hAnsi="BiauKai" w:cs="BiauKai"/>
          <w:color w:val="000000"/>
          <w:sz w:val="20"/>
          <w:szCs w:val="20"/>
        </w:rPr>
        <w:t>11</w:t>
      </w:r>
      <w:r>
        <w:rPr>
          <w:rFonts w:ascii="BiauKai" w:eastAsia="BiauKai" w:hAnsi="BiauKai" w:cs="BiauKai"/>
          <w:color w:val="000000"/>
          <w:sz w:val="20"/>
          <w:szCs w:val="20"/>
        </w:rPr>
        <w:t>月</w:t>
      </w:r>
      <w:r>
        <w:rPr>
          <w:rFonts w:ascii="BiauKai" w:eastAsia="BiauKai" w:hAnsi="BiauKai" w:cs="BiauKai"/>
          <w:color w:val="000000"/>
          <w:sz w:val="20"/>
          <w:szCs w:val="20"/>
        </w:rPr>
        <w:t>15</w:t>
      </w:r>
      <w:r>
        <w:rPr>
          <w:rFonts w:ascii="BiauKai" w:eastAsia="BiauKai" w:hAnsi="BiauKai" w:cs="BiauKai"/>
          <w:color w:val="000000"/>
          <w:sz w:val="20"/>
          <w:szCs w:val="20"/>
        </w:rPr>
        <w:t>日行政會議修正通過</w:t>
      </w:r>
    </w:p>
    <w:p w14:paraId="0000002E" w14:textId="77777777" w:rsidR="003D22DA" w:rsidRDefault="003D22DA">
      <w:pPr>
        <w:pBdr>
          <w:top w:val="nil"/>
          <w:left w:val="nil"/>
          <w:bottom w:val="nil"/>
          <w:right w:val="nil"/>
          <w:between w:val="nil"/>
        </w:pBdr>
        <w:spacing w:line="240" w:lineRule="auto"/>
        <w:ind w:left="1" w:hanging="3"/>
        <w:rPr>
          <w:rFonts w:ascii="BiauKai" w:eastAsia="BiauKai" w:hAnsi="BiauKai" w:cs="BiauKai"/>
          <w:color w:val="000000"/>
          <w:sz w:val="28"/>
          <w:szCs w:val="28"/>
        </w:rPr>
      </w:pPr>
    </w:p>
    <w:sectPr w:rsidR="003D22DA">
      <w:footerReference w:type="even" r:id="rId7"/>
      <w:footerReference w:type="default" r:id="rId8"/>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6B5E7" w14:textId="77777777" w:rsidR="00620945" w:rsidRDefault="00620945">
      <w:pPr>
        <w:spacing w:line="240" w:lineRule="auto"/>
        <w:ind w:left="0" w:hanging="2"/>
      </w:pPr>
      <w:r>
        <w:separator/>
      </w:r>
    </w:p>
  </w:endnote>
  <w:endnote w:type="continuationSeparator" w:id="0">
    <w:p w14:paraId="5CD8771F" w14:textId="77777777" w:rsidR="00620945" w:rsidRDefault="0062094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華康特粗楷體">
    <w:altName w:val="Times New Roman"/>
    <w:charset w:val="00"/>
    <w:family w:val="auto"/>
    <w:pitch w:val="default"/>
  </w:font>
  <w:font w:name="BiauKa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1" w14:textId="77777777" w:rsidR="003D22DA" w:rsidRDefault="00620945">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00000032" w14:textId="77777777" w:rsidR="003D22DA" w:rsidRDefault="003D22DA">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F" w14:textId="0ED64296" w:rsidR="003D22DA" w:rsidRDefault="00620945">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rFonts w:eastAsia="Times New Roman"/>
        <w:color w:val="000000"/>
        <w:sz w:val="20"/>
        <w:szCs w:val="20"/>
      </w:rPr>
      <w:instrText>PAGE</w:instrText>
    </w:r>
    <w:r w:rsidR="00F62BD3">
      <w:rPr>
        <w:color w:val="000000"/>
        <w:sz w:val="20"/>
        <w:szCs w:val="20"/>
      </w:rPr>
      <w:fldChar w:fldCharType="separate"/>
    </w:r>
    <w:r w:rsidR="00F62BD3">
      <w:rPr>
        <w:rFonts w:eastAsia="Times New Roman"/>
        <w:noProof/>
        <w:color w:val="000000"/>
        <w:sz w:val="20"/>
        <w:szCs w:val="20"/>
      </w:rPr>
      <w:t>2</w:t>
    </w:r>
    <w:r>
      <w:rPr>
        <w:color w:val="000000"/>
        <w:sz w:val="20"/>
        <w:szCs w:val="20"/>
      </w:rPr>
      <w:fldChar w:fldCharType="end"/>
    </w:r>
  </w:p>
  <w:p w14:paraId="00000030" w14:textId="77777777" w:rsidR="003D22DA" w:rsidRDefault="003D22DA">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FF37A" w14:textId="77777777" w:rsidR="00620945" w:rsidRDefault="00620945">
      <w:pPr>
        <w:spacing w:line="240" w:lineRule="auto"/>
        <w:ind w:left="0" w:hanging="2"/>
      </w:pPr>
      <w:r>
        <w:separator/>
      </w:r>
    </w:p>
  </w:footnote>
  <w:footnote w:type="continuationSeparator" w:id="0">
    <w:p w14:paraId="4530844A" w14:textId="77777777" w:rsidR="00620945" w:rsidRDefault="00620945">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426E"/>
    <w:multiLevelType w:val="multilevel"/>
    <w:tmpl w:val="85D608B6"/>
    <w:lvl w:ilvl="0">
      <w:start w:val="1"/>
      <w:numFmt w:val="decimal"/>
      <w:lvlText w:val="%1、"/>
      <w:lvlJc w:val="left"/>
      <w:pPr>
        <w:ind w:left="1824" w:hanging="720"/>
      </w:pPr>
      <w:rPr>
        <w:vertAlign w:val="baseline"/>
      </w:rPr>
    </w:lvl>
    <w:lvl w:ilvl="1">
      <w:start w:val="1"/>
      <w:numFmt w:val="decimal"/>
      <w:lvlText w:val="%2、"/>
      <w:lvlJc w:val="left"/>
      <w:pPr>
        <w:ind w:left="2064" w:hanging="480"/>
      </w:pPr>
      <w:rPr>
        <w:vertAlign w:val="baseline"/>
      </w:rPr>
    </w:lvl>
    <w:lvl w:ilvl="2">
      <w:start w:val="1"/>
      <w:numFmt w:val="lowerRoman"/>
      <w:lvlText w:val="%3."/>
      <w:lvlJc w:val="right"/>
      <w:pPr>
        <w:ind w:left="2544" w:hanging="480"/>
      </w:pPr>
      <w:rPr>
        <w:vertAlign w:val="baseline"/>
      </w:rPr>
    </w:lvl>
    <w:lvl w:ilvl="3">
      <w:start w:val="1"/>
      <w:numFmt w:val="decimal"/>
      <w:lvlText w:val="%4."/>
      <w:lvlJc w:val="left"/>
      <w:pPr>
        <w:ind w:left="3024" w:hanging="480"/>
      </w:pPr>
      <w:rPr>
        <w:vertAlign w:val="baseline"/>
      </w:rPr>
    </w:lvl>
    <w:lvl w:ilvl="4">
      <w:start w:val="1"/>
      <w:numFmt w:val="decimal"/>
      <w:lvlText w:val="%5、"/>
      <w:lvlJc w:val="left"/>
      <w:pPr>
        <w:ind w:left="3504" w:hanging="480"/>
      </w:pPr>
      <w:rPr>
        <w:vertAlign w:val="baseline"/>
      </w:rPr>
    </w:lvl>
    <w:lvl w:ilvl="5">
      <w:start w:val="1"/>
      <w:numFmt w:val="lowerRoman"/>
      <w:lvlText w:val="%6."/>
      <w:lvlJc w:val="right"/>
      <w:pPr>
        <w:ind w:left="3984" w:hanging="480"/>
      </w:pPr>
      <w:rPr>
        <w:vertAlign w:val="baseline"/>
      </w:rPr>
    </w:lvl>
    <w:lvl w:ilvl="6">
      <w:start w:val="1"/>
      <w:numFmt w:val="decimal"/>
      <w:lvlText w:val="%7."/>
      <w:lvlJc w:val="left"/>
      <w:pPr>
        <w:ind w:left="4464" w:hanging="480"/>
      </w:pPr>
      <w:rPr>
        <w:vertAlign w:val="baseline"/>
      </w:rPr>
    </w:lvl>
    <w:lvl w:ilvl="7">
      <w:start w:val="1"/>
      <w:numFmt w:val="decimal"/>
      <w:lvlText w:val="%8、"/>
      <w:lvlJc w:val="left"/>
      <w:pPr>
        <w:ind w:left="4944" w:hanging="480"/>
      </w:pPr>
      <w:rPr>
        <w:vertAlign w:val="baseline"/>
      </w:rPr>
    </w:lvl>
    <w:lvl w:ilvl="8">
      <w:start w:val="1"/>
      <w:numFmt w:val="lowerRoman"/>
      <w:lvlText w:val="%9."/>
      <w:lvlJc w:val="right"/>
      <w:pPr>
        <w:ind w:left="5424" w:hanging="4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2DA"/>
    <w:rsid w:val="003D22DA"/>
    <w:rsid w:val="00620945"/>
    <w:rsid w:val="00F62B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B891"/>
  <w15:docId w15:val="{4CFBA2EE-8101-480A-936E-34AFE14E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rPr>
      <w:rFonts w:ascii="Arial" w:hAnsi="Arial"/>
      <w:sz w:val="18"/>
      <w:szCs w:val="18"/>
    </w:rPr>
  </w:style>
  <w:style w:type="paragraph" w:styleId="a5">
    <w:name w:val="footer"/>
    <w:basedOn w:val="a"/>
    <w:pPr>
      <w:tabs>
        <w:tab w:val="center" w:pos="4153"/>
        <w:tab w:val="right" w:pos="8306"/>
      </w:tabs>
    </w:pPr>
    <w:rPr>
      <w:sz w:val="20"/>
      <w:szCs w:val="20"/>
    </w:rPr>
  </w:style>
  <w:style w:type="character" w:styleId="a6">
    <w:name w:val="page number"/>
    <w:basedOn w:val="a0"/>
    <w:rPr>
      <w:w w:val="100"/>
      <w:position w:val="-1"/>
      <w:effect w:val="none"/>
      <w:vertAlign w:val="baseline"/>
      <w:cs w:val="0"/>
      <w:em w:val="none"/>
    </w:rPr>
  </w:style>
  <w:style w:type="paragraph" w:customStyle="1" w:styleId="a7">
    <w:name w:val="表頭"/>
    <w:basedOn w:val="a"/>
    <w:pPr>
      <w:keepNext/>
      <w:jc w:val="center"/>
      <w:outlineLvl w:val="1"/>
    </w:pPr>
    <w:rPr>
      <w:b/>
      <w:bCs/>
      <w:sz w:val="36"/>
      <w:szCs w:val="20"/>
    </w:rPr>
  </w:style>
  <w:style w:type="paragraph" w:styleId="a8">
    <w:name w:val="header"/>
    <w:basedOn w:val="a"/>
    <w:pPr>
      <w:tabs>
        <w:tab w:val="center" w:pos="4153"/>
        <w:tab w:val="right" w:pos="8306"/>
      </w:tabs>
    </w:pPr>
    <w:rPr>
      <w:sz w:val="20"/>
      <w:szCs w:val="20"/>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232</Words>
  <Characters>1325</Characters>
  <Application>Microsoft Office Word</Application>
  <DocSecurity>0</DocSecurity>
  <Lines>11</Lines>
  <Paragraphs>3</Paragraphs>
  <ScaleCrop>false</ScaleCrop>
  <Company>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Gema.Teng</dc:creator>
  <cp:lastModifiedBy>User</cp:lastModifiedBy>
  <cp:revision>2</cp:revision>
  <dcterms:created xsi:type="dcterms:W3CDTF">2017-03-31T03:09:00Z</dcterms:created>
  <dcterms:modified xsi:type="dcterms:W3CDTF">2025-06-24T00:42:00Z</dcterms:modified>
</cp:coreProperties>
</file>